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502"/>
      </w:tblGrid>
      <w:tr w:rsidR="004548E5" w:rsidRPr="004548E5" w:rsidTr="00E04C41">
        <w:trPr>
          <w:trHeight w:val="1479"/>
          <w:tblCellSpacing w:w="15" w:type="dxa"/>
        </w:trPr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C41" w:rsidRPr="004548E5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bookmarkStart w:id="0" w:name="_GoBack"/>
            <w:r w:rsidRPr="004548E5">
              <w:rPr>
                <w:rFonts w:ascii="Arial" w:hAnsi="Arial" w:cs="Arial"/>
                <w:b/>
                <w:noProof/>
                <w:color w:val="002060"/>
                <w:lang w:eastAsia="es-CL"/>
              </w:rPr>
              <w:drawing>
                <wp:inline distT="0" distB="0" distL="0" distR="0" wp14:anchorId="0B4FD995" wp14:editId="115AD08B">
                  <wp:extent cx="971550" cy="800100"/>
                  <wp:effectExtent l="19050" t="0" r="0" b="0"/>
                  <wp:docPr id="1" name="Imagen 1" descr="cid:image001.jpg@01D46B9C.56834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46B9C.56834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C41" w:rsidRPr="004548E5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</w:p>
          <w:p w:rsidR="00E04C41" w:rsidRPr="004548E5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</w:pPr>
            <w:r w:rsidRPr="004548E5"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ASOCIACION NACIONAL de FUNCIONARIOS</w:t>
            </w:r>
          </w:p>
          <w:p w:rsidR="00E04C41" w:rsidRPr="004548E5" w:rsidRDefault="00E04C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  <w:r w:rsidRPr="004548E5">
              <w:rPr>
                <w:rFonts w:ascii="Arial" w:hAnsi="Arial" w:cs="Arial"/>
                <w:b/>
                <w:bCs/>
                <w:color w:val="002060"/>
                <w:sz w:val="12"/>
                <w:szCs w:val="12"/>
                <w:lang w:val="es-CO" w:eastAsia="es-ES"/>
              </w:rPr>
              <w:t>del  TRABAJO de CHILE</w:t>
            </w:r>
          </w:p>
        </w:tc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C41" w:rsidRPr="004548E5" w:rsidRDefault="00E04C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</w:p>
          <w:p w:rsidR="00E04C41" w:rsidRPr="004548E5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CO" w:eastAsia="es-ES"/>
              </w:rPr>
            </w:pPr>
          </w:p>
        </w:tc>
      </w:tr>
    </w:tbl>
    <w:p w:rsidR="00663E58" w:rsidRPr="004548E5" w:rsidRDefault="00663E58" w:rsidP="00D14B2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lang w:val="es-ES_tradnl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548E5" w:rsidRPr="004548E5" w:rsidTr="002267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0C" w:rsidRPr="004548E5" w:rsidRDefault="0022670C" w:rsidP="00226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b/>
                <w:bCs/>
                <w:color w:val="002060"/>
                <w:lang w:val="es-ES_tradnl"/>
              </w:rPr>
              <w:t>COMUNICADO ANFUNTCH</w:t>
            </w:r>
          </w:p>
          <w:p w:rsidR="0022670C" w:rsidRPr="004548E5" w:rsidRDefault="0022670C" w:rsidP="00226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b/>
                <w:bCs/>
                <w:color w:val="002060"/>
                <w:lang w:val="es-ES_tradnl"/>
              </w:rPr>
              <w:t>Nº3</w:t>
            </w:r>
            <w:r w:rsidR="00C86049" w:rsidRPr="004548E5">
              <w:rPr>
                <w:rFonts w:ascii="Arial" w:hAnsi="Arial" w:cs="Arial"/>
                <w:b/>
                <w:bCs/>
                <w:color w:val="002060"/>
                <w:lang w:val="es-ES_tradnl"/>
              </w:rPr>
              <w:t>5</w:t>
            </w:r>
            <w:r w:rsidRPr="004548E5">
              <w:rPr>
                <w:rFonts w:ascii="Arial" w:hAnsi="Arial" w:cs="Arial"/>
                <w:b/>
                <w:bCs/>
                <w:color w:val="002060"/>
                <w:lang w:val="es-ES_tradnl"/>
              </w:rPr>
              <w:t>-2019</w:t>
            </w:r>
          </w:p>
          <w:p w:rsidR="0022670C" w:rsidRPr="004548E5" w:rsidRDefault="00C86049" w:rsidP="00ED0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b/>
                <w:bCs/>
                <w:color w:val="002060"/>
                <w:lang w:val="es-ES_tradnl"/>
              </w:rPr>
              <w:t>20</w:t>
            </w:r>
            <w:r w:rsidR="0022670C" w:rsidRPr="004548E5">
              <w:rPr>
                <w:rFonts w:ascii="Arial" w:hAnsi="Arial" w:cs="Arial"/>
                <w:b/>
                <w:bCs/>
                <w:color w:val="002060"/>
                <w:lang w:val="es-ES_tradnl"/>
              </w:rPr>
              <w:t>.11.19</w:t>
            </w:r>
          </w:p>
          <w:p w:rsidR="0022670C" w:rsidRPr="004548E5" w:rsidRDefault="0022670C" w:rsidP="00226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</w:p>
          <w:p w:rsidR="00162F26" w:rsidRPr="004548E5" w:rsidRDefault="00DF597E" w:rsidP="00226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ES_tradnl"/>
              </w:rPr>
            </w:pPr>
            <w:r w:rsidRPr="004548E5"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ES_tradnl"/>
              </w:rPr>
              <w:t>CON LA SATISFACCION DE HABER APORTADO AL MOVIMIENTO SOCIAL, ES HORA DEL BALANCE Y DE PROYECTAR NUESTRAS ASPIRACIONES EN ESTE NUEVO ESCENARIO INSTITUCIONAL</w:t>
            </w:r>
          </w:p>
          <w:p w:rsidR="00DF597E" w:rsidRPr="004548E5" w:rsidRDefault="00DF597E" w:rsidP="0022670C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s-ES_tradnl"/>
              </w:rPr>
            </w:pPr>
          </w:p>
          <w:p w:rsidR="0022670C" w:rsidRPr="004548E5" w:rsidRDefault="0022670C" w:rsidP="0022670C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s-ES_tradnl"/>
              </w:rPr>
            </w:pPr>
            <w:r w:rsidRPr="004548E5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s-ES_tradnl"/>
              </w:rPr>
              <w:t>Estimados/as socios/as y colegas:</w:t>
            </w:r>
          </w:p>
          <w:p w:rsidR="0022670C" w:rsidRPr="004548E5" w:rsidRDefault="0022670C" w:rsidP="0022670C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68528E" w:rsidRPr="004548E5" w:rsidRDefault="00DF597E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Decíamos a comienzos de semana, al estarse </w:t>
            </w:r>
            <w:r w:rsidR="00162F26" w:rsidRPr="004548E5">
              <w:rPr>
                <w:rFonts w:ascii="Arial" w:hAnsi="Arial" w:cs="Arial"/>
                <w:color w:val="002060"/>
                <w:lang w:val="es-ES_tradnl"/>
              </w:rPr>
              <w:t>cumpli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endo </w:t>
            </w:r>
            <w:r w:rsidR="00162F26" w:rsidRPr="004548E5">
              <w:rPr>
                <w:rFonts w:ascii="Arial" w:hAnsi="Arial" w:cs="Arial"/>
                <w:color w:val="002060"/>
                <w:lang w:val="es-ES_tradnl"/>
              </w:rPr>
              <w:t>un mes desde el s</w:t>
            </w:r>
            <w:r w:rsidR="0068528E" w:rsidRPr="004548E5">
              <w:rPr>
                <w:rFonts w:ascii="Arial" w:hAnsi="Arial" w:cs="Arial"/>
                <w:color w:val="002060"/>
                <w:lang w:val="es-ES_tradnl"/>
              </w:rPr>
              <w:t xml:space="preserve">urgimiento del movimiento que generó una gran adhesión ciudadana en torno a impulsar un renovado marco constitucional y una agenda de </w:t>
            </w:r>
            <w:r w:rsidR="00162F26" w:rsidRPr="004548E5">
              <w:rPr>
                <w:rFonts w:ascii="Arial" w:hAnsi="Arial" w:cs="Arial"/>
                <w:color w:val="002060"/>
                <w:lang w:val="es-ES_tradnl"/>
              </w:rPr>
              <w:t>mayor justicia social</w:t>
            </w:r>
            <w:r w:rsidR="0068528E" w:rsidRPr="004548E5">
              <w:rPr>
                <w:rFonts w:ascii="Arial" w:hAnsi="Arial" w:cs="Arial"/>
                <w:color w:val="002060"/>
                <w:lang w:val="es-ES_tradnl"/>
              </w:rPr>
              <w:t>, lo que naturalmente se impuso en la atención de todo/as -en particular tras la dirección y conducción de ANEF a la cual estamos integrados junto a otras más de 200 Asociaciones de Funcionarios de más de un centenar de Servicios-, por sobre las agendas sectoriales de la habitual negociación del sector público que se presenta a fines de año, y también de las agendas estratégicas locales, de las Asociaciones de cada Servicio, como lo es, en nuestro caso, la que persigue concretar la aprobación del proyecto de ley de modernización y nuevas plantas para la DT.</w:t>
            </w:r>
          </w:p>
          <w:p w:rsidR="0068528E" w:rsidRPr="004548E5" w:rsidRDefault="0068528E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C15B64" w:rsidRPr="004548E5" w:rsidRDefault="0068528E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Este efecto de superposición fue lógico e inevitable, por </w:t>
            </w:r>
            <w:r w:rsidR="00C15B64" w:rsidRPr="004548E5">
              <w:rPr>
                <w:rFonts w:ascii="Arial" w:hAnsi="Arial" w:cs="Arial"/>
                <w:color w:val="002060"/>
                <w:lang w:val="es-ES_tradnl"/>
              </w:rPr>
              <w:t xml:space="preserve">el respeto básico a la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amplitud, profundidad y relevancia</w:t>
            </w:r>
            <w:r w:rsidR="00C15B64" w:rsidRPr="004548E5">
              <w:rPr>
                <w:rFonts w:ascii="Arial" w:hAnsi="Arial" w:cs="Arial"/>
                <w:color w:val="002060"/>
                <w:lang w:val="es-ES_tradnl"/>
              </w:rPr>
              <w:t xml:space="preserve"> del movimiento social, que fue capaz de interpelar con fuerza y finalmente reformular la atención y las prioridades de la institucionalidad, exigida por justas demandas y también por riesgos y pesares que lamentar y evitar.</w:t>
            </w:r>
          </w:p>
          <w:p w:rsidR="00C15B64" w:rsidRPr="004548E5" w:rsidRDefault="00C15B64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C15B64" w:rsidRPr="004548E5" w:rsidRDefault="00C15B64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b/>
                <w:color w:val="002060"/>
                <w:lang w:val="es-ES_tradnl"/>
              </w:rPr>
              <w:t>Será parte de nuestro acervo y orgullo histórico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 </w:t>
            </w:r>
            <w:r w:rsidR="00BB07B3" w:rsidRPr="004548E5">
              <w:rPr>
                <w:rFonts w:ascii="Arial" w:hAnsi="Arial" w:cs="Arial"/>
                <w:color w:val="002060"/>
                <w:lang w:val="es-ES_tradnl"/>
              </w:rPr>
              <w:t xml:space="preserve">acrecentado por décadas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la contribución modesta pero significativa </w:t>
            </w:r>
            <w:r w:rsidR="00BB07B3" w:rsidRPr="004548E5">
              <w:rPr>
                <w:rFonts w:ascii="Arial" w:hAnsi="Arial" w:cs="Arial"/>
                <w:color w:val="002060"/>
                <w:lang w:val="es-ES_tradnl"/>
              </w:rPr>
              <w:t xml:space="preserve">y consistente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que hicimos </w:t>
            </w:r>
            <w:r w:rsidR="00BB07B3" w:rsidRPr="004548E5">
              <w:rPr>
                <w:rFonts w:ascii="Arial" w:hAnsi="Arial" w:cs="Arial"/>
                <w:color w:val="002060"/>
                <w:lang w:val="es-ES_tradnl"/>
              </w:rPr>
              <w:t xml:space="preserve">a lo largo de todo el país,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durante todas estas semanas</w:t>
            </w:r>
            <w:r w:rsidR="00BB07B3" w:rsidRPr="004548E5">
              <w:rPr>
                <w:rFonts w:ascii="Arial" w:hAnsi="Arial" w:cs="Arial"/>
                <w:color w:val="002060"/>
                <w:lang w:val="es-ES_tradnl"/>
              </w:rPr>
              <w:t>,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 </w:t>
            </w:r>
            <w:r w:rsidR="00BB07B3" w:rsidRPr="004548E5">
              <w:rPr>
                <w:rFonts w:ascii="Arial" w:hAnsi="Arial" w:cs="Arial"/>
                <w:color w:val="002060"/>
                <w:lang w:val="es-ES_tradnl"/>
              </w:rPr>
              <w:t>a este movimiento social del cual somos y nos sentimos parte.</w:t>
            </w:r>
          </w:p>
          <w:p w:rsidR="00BB07B3" w:rsidRPr="004548E5" w:rsidRDefault="00BB07B3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2A5658" w:rsidRPr="004548E5" w:rsidRDefault="00BB07B3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Fue inevitable también que un evento de esta magnitud haya tensionado a toda la sociedad y con ella a la institucionalidad y también a todas las organizaciones, dando lugar a múltiples y complejos sentimientos, miradas y opiniones, además dinámicas y cambiantes con el correr de los días, </w:t>
            </w:r>
            <w:r w:rsidR="002A5658" w:rsidRPr="004548E5">
              <w:rPr>
                <w:rFonts w:ascii="Arial" w:hAnsi="Arial" w:cs="Arial"/>
                <w:color w:val="002060"/>
                <w:lang w:val="es-ES_tradnl"/>
              </w:rPr>
              <w:t>atendiendo a diversos ángulos y efectos, muchos positivos, algunos preocupantes, finalmente todos desafiantes, de este Chile que cambió.</w:t>
            </w:r>
          </w:p>
          <w:p w:rsidR="002A5658" w:rsidRPr="004548E5" w:rsidRDefault="002A5658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2A5658" w:rsidRPr="004548E5" w:rsidRDefault="002A5658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Y en nuestra organización, con una tradición de lucha y acción, y también de diálogo, tolerancia, integración y respeto a la amplia diversidad de esas </w:t>
            </w:r>
            <w:r w:rsidR="00BB07B3" w:rsidRPr="004548E5">
              <w:rPr>
                <w:rFonts w:ascii="Arial" w:hAnsi="Arial" w:cs="Arial"/>
                <w:color w:val="002060"/>
                <w:lang w:val="es-ES_tradnl"/>
              </w:rPr>
              <w:t xml:space="preserve">miradas y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opciones, nos esforzamos todas estas semanas por armoniza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>rlas y hacer confluir en un cauc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e común, de tal forma que se manifestará en una clara adhesión al movimiento</w:t>
            </w:r>
            <w:r w:rsidR="004548E5" w:rsidRPr="004548E5">
              <w:rPr>
                <w:rFonts w:ascii="Arial" w:hAnsi="Arial" w:cs="Arial"/>
                <w:color w:val="002060"/>
                <w:lang w:val="es-ES_tradnl"/>
              </w:rPr>
              <w:t xml:space="preserve"> y siempre con respeto a las vías democráticas e institucionales. Y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, ahora que éste está concluyendo su fase de brote y manifestación, podamos también juntos/as, respetando la unidad que nos precia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>,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 evaluar</w:t>
            </w:r>
            <w:r w:rsidR="004548E5" w:rsidRPr="004548E5">
              <w:rPr>
                <w:rFonts w:ascii="Arial" w:hAnsi="Arial" w:cs="Arial"/>
                <w:color w:val="002060"/>
                <w:lang w:val="es-ES_tradnl"/>
              </w:rPr>
              <w:t xml:space="preserve">,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cerrar </w:t>
            </w:r>
            <w:r w:rsidR="004548E5" w:rsidRPr="004548E5">
              <w:rPr>
                <w:rFonts w:ascii="Arial" w:hAnsi="Arial" w:cs="Arial"/>
                <w:color w:val="002060"/>
                <w:lang w:val="es-ES_tradnl"/>
              </w:rPr>
              <w:t xml:space="preserve">y </w:t>
            </w:r>
            <w:r w:rsidR="004548E5" w:rsidRPr="004548E5">
              <w:rPr>
                <w:rFonts w:ascii="Arial" w:hAnsi="Arial" w:cs="Arial"/>
                <w:color w:val="002060"/>
                <w:lang w:val="es-ES_tradnl"/>
              </w:rPr>
              <w:t>rescatar</w:t>
            </w:r>
            <w:r w:rsidR="004548E5" w:rsidRPr="004548E5">
              <w:rPr>
                <w:rFonts w:ascii="Arial" w:hAnsi="Arial" w:cs="Arial"/>
                <w:color w:val="002060"/>
                <w:lang w:val="es-ES_tradnl"/>
              </w:rPr>
              <w:t xml:space="preserve">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este capítulo inicial, por cierto, con nuestro claro compromiso de acompañamiento y solidaridad para lo que esperamos y deben ser, en las nuevas etapas, sus frutos positivos que hayan justificado esfuerzos y dolores.</w:t>
            </w:r>
          </w:p>
          <w:p w:rsidR="002A5658" w:rsidRPr="004548E5" w:rsidRDefault="002A5658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D33DD7" w:rsidRPr="004548E5" w:rsidRDefault="002A5658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color w:val="002060"/>
                <w:lang w:val="es-ES_tradnl"/>
              </w:rPr>
              <w:t>Es por ello que a inicios de la semana pasada invitamos a nuestros más de 50 dirigentes/as de los 27 Consejos Regionales y Provinciales del país, a efectuar procesos de consulta y sintonía más fina con nuestros socios/as y colegas, tambi</w:t>
            </w:r>
            <w:r w:rsidR="00D33DD7" w:rsidRPr="004548E5">
              <w:rPr>
                <w:rFonts w:ascii="Arial" w:hAnsi="Arial" w:cs="Arial"/>
                <w:color w:val="002060"/>
                <w:lang w:val="es-ES_tradnl"/>
              </w:rPr>
              <w:t>én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 teniendo </w:t>
            </w:r>
            <w:r w:rsidR="00D33DD7" w:rsidRPr="004548E5">
              <w:rPr>
                <w:rFonts w:ascii="Arial" w:hAnsi="Arial" w:cs="Arial"/>
                <w:color w:val="002060"/>
                <w:lang w:val="es-ES_tradnl"/>
              </w:rPr>
              <w:t xml:space="preserve">muy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a la vista</w:t>
            </w:r>
            <w:r w:rsidR="00D33DD7" w:rsidRPr="004548E5">
              <w:rPr>
                <w:rFonts w:ascii="Arial" w:hAnsi="Arial" w:cs="Arial"/>
                <w:color w:val="002060"/>
                <w:lang w:val="es-ES_tradnl"/>
              </w:rPr>
              <w:t xml:space="preserve"> las necesidades y aspiraciones de nuestros usuarios/as, a objeto de resolver sobre la continuidad o cierre conjunto de nuestra adhesión a las numerosas y sucesivas convocatorias a movilización que, en una conducción también más imprecisa y errática, nos han seguido llegando desde ANEF y la denominada Unidad Social a la que se integró en esta ocasión. Procesos de consulta que se efectuaron en múltiples Consejos, ya sea en la forma de asambleas, grupos de correo o incluso votaciones a través de medios electrónicos y que, según lo informado, de manera clara y consistente por una gran mayoría de dirigentes/as del país, nos hacen concluir y resolver, en esta lógica de actuar unitario, lo siguiente:</w:t>
            </w:r>
          </w:p>
          <w:p w:rsidR="00D33DD7" w:rsidRPr="004548E5" w:rsidRDefault="00D33DD7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D33DD7" w:rsidRPr="004548E5" w:rsidRDefault="00D33DD7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b/>
                <w:color w:val="002060"/>
                <w:lang w:val="es-ES_tradnl"/>
              </w:rPr>
              <w:lastRenderedPageBreak/>
              <w:t>1.- Adherir</w:t>
            </w:r>
            <w:r w:rsidR="00EF3B54" w:rsidRPr="004548E5">
              <w:rPr>
                <w:rFonts w:ascii="Arial" w:hAnsi="Arial" w:cs="Arial"/>
                <w:b/>
                <w:color w:val="002060"/>
                <w:lang w:val="es-ES_tradnl"/>
              </w:rPr>
              <w:t xml:space="preserve"> finalmente, y </w:t>
            </w:r>
            <w:r w:rsidRPr="004548E5">
              <w:rPr>
                <w:rFonts w:ascii="Arial" w:hAnsi="Arial" w:cs="Arial"/>
                <w:b/>
                <w:color w:val="002060"/>
                <w:lang w:val="es-ES_tradnl"/>
              </w:rPr>
              <w:t>solo por ésta semana y lo que resta de ella, a las convocatorias a movilizaciones y paralizaciones provenientes desde fuera del Servicio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 –ANEF, Unidad Social y ahora Mesa del Sector Público-, por cierto, con la flexibilidad y adaptabilidad de cada caso, especialmente con turnos éticos de diversa amplitud según las </w:t>
            </w:r>
            <w:r w:rsidR="00247507" w:rsidRPr="004548E5">
              <w:rPr>
                <w:rFonts w:ascii="Arial" w:hAnsi="Arial" w:cs="Arial"/>
                <w:color w:val="002060"/>
                <w:lang w:val="es-ES_tradnl"/>
              </w:rPr>
              <w:t xml:space="preserve">diferentes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realidades, o concentrándose en la participación en un solo día</w:t>
            </w:r>
            <w:r w:rsidR="00247507" w:rsidRPr="004548E5">
              <w:rPr>
                <w:rFonts w:ascii="Arial" w:hAnsi="Arial" w:cs="Arial"/>
                <w:color w:val="002060"/>
                <w:lang w:val="es-ES_tradnl"/>
              </w:rPr>
              <w:t xml:space="preserve"> final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, específicamente el viernes.</w:t>
            </w:r>
          </w:p>
          <w:p w:rsidR="00EF3B54" w:rsidRPr="004548E5" w:rsidRDefault="00EF3B54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EF3B54" w:rsidRPr="004548E5" w:rsidRDefault="00EF3B54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color w:val="002060"/>
                <w:lang w:val="es-ES_tradnl"/>
              </w:rPr>
              <w:t>Por cierto, el cierre de esta etapa de movilización activa continuará con nuestro compromiso permanente por contribuir al seguimiento de las demás etapas que vengan, en especial de contribución a un clima de participación y reflexión desde la base</w:t>
            </w:r>
            <w:r w:rsidR="009C76E2" w:rsidRPr="004548E5">
              <w:rPr>
                <w:rFonts w:ascii="Arial" w:hAnsi="Arial" w:cs="Arial"/>
                <w:color w:val="002060"/>
                <w:lang w:val="es-ES_tradnl"/>
              </w:rPr>
              <w:t xml:space="preserve">, con cabildos y reuniones,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en torno a la construcción de un nuevo marco constitucional, en forma abierta, integradora</w:t>
            </w:r>
            <w:r w:rsidR="009D4BEC" w:rsidRPr="004548E5">
              <w:rPr>
                <w:rFonts w:ascii="Arial" w:hAnsi="Arial" w:cs="Arial"/>
                <w:color w:val="002060"/>
                <w:lang w:val="es-ES_tradnl"/>
              </w:rPr>
              <w:t xml:space="preserve">,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plu</w:t>
            </w:r>
            <w:r w:rsidR="009D4BEC" w:rsidRPr="004548E5">
              <w:rPr>
                <w:rFonts w:ascii="Arial" w:hAnsi="Arial" w:cs="Arial"/>
                <w:color w:val="002060"/>
                <w:lang w:val="es-ES_tradnl"/>
              </w:rPr>
              <w:t>ralista y profundamente democrática, como corresponde a la esencia de nuestra organización.</w:t>
            </w:r>
          </w:p>
          <w:p w:rsidR="00D33DD7" w:rsidRPr="004548E5" w:rsidRDefault="00D33DD7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247507" w:rsidRPr="004548E5" w:rsidRDefault="00247507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b/>
                <w:color w:val="002060"/>
                <w:lang w:val="es-ES_tradnl"/>
              </w:rPr>
              <w:t>2.- En lo sucesivo, y cumpliendo con los acuerdos de nuestro último Consultivo inmediatamente anterior al estallido social, volver a concentrarnos sustancialmente en nuestra demanda particular y más sentida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 por, primero, impulsar la corrección del proyecto de ley ingresado por el Gobierno al Congreso en agosto pasado a objeto de ajustarlo a los compromisos y acuerdos largamente trabajados y, luego de esa corrección, retomar la tramitación y aprobación del mismo, al más breve plazo, en condiciones de mayor acuerdo técnico y menor confrontación ideológica.</w:t>
            </w:r>
          </w:p>
          <w:p w:rsidR="00247507" w:rsidRPr="004548E5" w:rsidRDefault="00247507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EF3B54" w:rsidRPr="004548E5" w:rsidRDefault="00247507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Ciertamente que el movimiento social afectó nuestra propia demanda, </w:t>
            </w:r>
            <w:r w:rsidR="005359A6" w:rsidRPr="004548E5">
              <w:rPr>
                <w:rFonts w:ascii="Arial" w:hAnsi="Arial" w:cs="Arial"/>
                <w:color w:val="002060"/>
                <w:lang w:val="es-ES_tradnl"/>
              </w:rPr>
              <w:t xml:space="preserve">es natural que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en algunos casos negativamente, pues ha postergado su atención inmediata en favor de la de proyectos de inmenso impacto y urgencia ciudadana (aunque en todas estas semanas de adhesión a la movilización social no bajamos los brazos y nos ingeniamos por seguir adelante impulsando, con bastantes avances según hemos ido informando, la corrección del proyecto)</w:t>
            </w:r>
            <w:r w:rsidR="005359A6" w:rsidRPr="004548E5">
              <w:rPr>
                <w:rFonts w:ascii="Arial" w:hAnsi="Arial" w:cs="Arial"/>
                <w:color w:val="002060"/>
                <w:lang w:val="es-ES_tradnl"/>
              </w:rPr>
              <w:t xml:space="preserve">. Pero también en otros aspectos, esperamos y ya visualizamos efectos muy positivos, que dicen relación con la actitud y voluntad de la institucionalidad –Gobierno y Congreso- de cumplir compromisos y emplear a fondo las voluntades, para sacar adelante proyectos como el nuestro, de larga preparación y de alta calidad técnica. </w:t>
            </w:r>
          </w:p>
          <w:p w:rsidR="00EF3B54" w:rsidRPr="004548E5" w:rsidRDefault="00EF3B54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247507" w:rsidRPr="004548E5" w:rsidRDefault="005359A6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Por lo que, haciéndonos cargo de una que esperamos pequeña reformulación de plazos y urgencias que igual nos deje como una prioridad alta o intermedia en estos meses inmediatamente venideros, además de fin de año, seguimos expectantes y confiados en que este proyecto, debidamente corregido como está ocurriendo, y en el nuevo contexto que surge, debe lograr una próxima aprobación, Confianza que es todo lo contrario de pasividad, pues implica voluntad y capacidad de tenaz y sostenida lucha, que hemos demostrado y seguiremos haciendo, </w:t>
            </w:r>
            <w:r w:rsidR="00A04857" w:rsidRPr="004548E5">
              <w:rPr>
                <w:rFonts w:ascii="Arial" w:hAnsi="Arial" w:cs="Arial"/>
                <w:color w:val="002060"/>
                <w:lang w:val="es-ES_tradnl"/>
              </w:rPr>
              <w:t xml:space="preserve">para lograr, </w:t>
            </w:r>
            <w:r w:rsidR="00EF3B54" w:rsidRPr="004548E5">
              <w:rPr>
                <w:rFonts w:ascii="Arial" w:hAnsi="Arial" w:cs="Arial"/>
                <w:color w:val="002060"/>
                <w:lang w:val="es-ES_tradnl"/>
              </w:rPr>
              <w:t xml:space="preserve">junto con la agenda de la Mesa de RRHH </w:t>
            </w:r>
            <w:r w:rsidR="00A04857" w:rsidRPr="004548E5">
              <w:rPr>
                <w:rFonts w:ascii="Arial" w:hAnsi="Arial" w:cs="Arial"/>
                <w:color w:val="002060"/>
                <w:lang w:val="es-ES_tradnl"/>
              </w:rPr>
              <w:t xml:space="preserve">con la autoridad </w:t>
            </w:r>
            <w:r w:rsidR="00EF3B54" w:rsidRPr="004548E5">
              <w:rPr>
                <w:rFonts w:ascii="Arial" w:hAnsi="Arial" w:cs="Arial"/>
                <w:color w:val="002060"/>
                <w:lang w:val="es-ES_tradnl"/>
              </w:rPr>
              <w:t xml:space="preserve">en que destaca en lo inmediato la convocatoria a un masivo concurso de promoción, </w:t>
            </w:r>
            <w:r w:rsidR="00A04857" w:rsidRPr="004548E5">
              <w:rPr>
                <w:rFonts w:ascii="Arial" w:hAnsi="Arial" w:cs="Arial"/>
                <w:color w:val="002060"/>
                <w:lang w:val="es-ES_tradnl"/>
              </w:rPr>
              <w:t>l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o que sabemos son nuestras justas demandas.</w:t>
            </w:r>
          </w:p>
          <w:p w:rsidR="009D4BEC" w:rsidRPr="004548E5" w:rsidRDefault="009D4BEC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9D4BEC" w:rsidRPr="004548E5" w:rsidRDefault="009D4BEC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Y, en vez de 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>contraponer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 de modo absurdo est</w:t>
            </w:r>
            <w:r w:rsidR="00A04857" w:rsidRPr="004548E5">
              <w:rPr>
                <w:rFonts w:ascii="Arial" w:hAnsi="Arial" w:cs="Arial"/>
                <w:color w:val="002060"/>
                <w:lang w:val="es-ES_tradnl"/>
              </w:rPr>
              <w:t>os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 dos </w:t>
            </w:r>
            <w:r w:rsidR="00A04857" w:rsidRPr="004548E5">
              <w:rPr>
                <w:rFonts w:ascii="Arial" w:hAnsi="Arial" w:cs="Arial"/>
                <w:color w:val="002060"/>
                <w:lang w:val="es-ES_tradnl"/>
              </w:rPr>
              <w:t xml:space="preserve">ámbitos y 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>movimientos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, lo que haremos es demostrar que son parte de una misma lógica, pues ayudaremos a hacer evidente que, al igual como una nueva Constitución contribuye a la posibilidad de 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 xml:space="preserve">establecer un casa común,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un país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 xml:space="preserve"> realmente inclusivo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, perfeccionando procesos y decisiones más claras y legitimadas, dejando atrás privilegios e inconsistencias que hoy son c</w:t>
            </w:r>
            <w:r w:rsidR="00A04857" w:rsidRPr="004548E5">
              <w:rPr>
                <w:rFonts w:ascii="Arial" w:hAnsi="Arial" w:cs="Arial"/>
                <w:color w:val="002060"/>
                <w:lang w:val="es-ES_tradnl"/>
              </w:rPr>
              <w:t xml:space="preserve">ategóricamente 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>rechazadas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>, ¡lo mismo hará nuestra nueva ley de plantas al interior de la Dirección del Trabajo</w:t>
            </w:r>
            <w:r w:rsidR="00EA610D" w:rsidRPr="004548E5">
              <w:rPr>
                <w:rFonts w:ascii="Arial" w:hAnsi="Arial" w:cs="Arial"/>
                <w:color w:val="002060"/>
                <w:lang w:val="es-ES_tradnl"/>
              </w:rPr>
              <w:t xml:space="preserve">!, </w:t>
            </w:r>
            <w:r w:rsidRPr="004548E5">
              <w:rPr>
                <w:rFonts w:ascii="Arial" w:hAnsi="Arial" w:cs="Arial"/>
                <w:color w:val="002060"/>
                <w:lang w:val="es-ES_tradnl"/>
              </w:rPr>
              <w:t xml:space="preserve">regulando en forma más justa y precisa las facultades y limitaciones de las respectivas autoridades de turno, </w:t>
            </w:r>
            <w:r w:rsidR="00EA610D" w:rsidRPr="004548E5">
              <w:rPr>
                <w:rFonts w:ascii="Arial" w:hAnsi="Arial" w:cs="Arial"/>
                <w:color w:val="002060"/>
                <w:lang w:val="es-ES_tradnl"/>
              </w:rPr>
              <w:t>fortaleciendo con ello un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 xml:space="preserve">a auténtica carrera funcionaria y contribuyendo a establecer </w:t>
            </w:r>
            <w:r w:rsidR="00A04857" w:rsidRPr="004548E5">
              <w:rPr>
                <w:rFonts w:ascii="Arial" w:hAnsi="Arial" w:cs="Arial"/>
                <w:color w:val="002060"/>
                <w:lang w:val="es-ES_tradnl"/>
              </w:rPr>
              <w:t xml:space="preserve">también 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 xml:space="preserve">nuestra propia </w:t>
            </w:r>
            <w:r w:rsidR="00A04857" w:rsidRPr="004548E5">
              <w:rPr>
                <w:rFonts w:ascii="Arial" w:hAnsi="Arial" w:cs="Arial"/>
                <w:color w:val="002060"/>
                <w:lang w:val="es-ES_tradnl"/>
              </w:rPr>
              <w:t xml:space="preserve">y mejor </w:t>
            </w:r>
            <w:r w:rsidR="0091100E" w:rsidRPr="004548E5">
              <w:rPr>
                <w:rFonts w:ascii="Arial" w:hAnsi="Arial" w:cs="Arial"/>
                <w:color w:val="002060"/>
                <w:lang w:val="es-ES_tradnl"/>
              </w:rPr>
              <w:t>casa común.</w:t>
            </w:r>
          </w:p>
          <w:p w:rsidR="009D4BEC" w:rsidRPr="004548E5" w:rsidRDefault="009D4BEC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9D4BEC" w:rsidRPr="004548E5" w:rsidRDefault="009D4BEC" w:rsidP="00162F2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lang w:val="es-ES_tradnl"/>
              </w:rPr>
            </w:pPr>
          </w:p>
          <w:p w:rsidR="00E04C41" w:rsidRPr="004548E5" w:rsidRDefault="00E04C41" w:rsidP="0022670C">
            <w:pPr>
              <w:spacing w:after="0" w:line="240" w:lineRule="auto"/>
              <w:ind w:left="-2799" w:right="-1485"/>
              <w:jc w:val="center"/>
              <w:rPr>
                <w:rFonts w:ascii="Arial" w:hAnsi="Arial" w:cs="Arial"/>
                <w:bCs/>
                <w:color w:val="002060"/>
                <w:lang w:val="es-ES_tradnl"/>
              </w:rPr>
            </w:pPr>
          </w:p>
          <w:p w:rsidR="00E04C41" w:rsidRPr="004548E5" w:rsidRDefault="00E04C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4548E5">
              <w:rPr>
                <w:rFonts w:ascii="Arial" w:hAnsi="Arial" w:cs="Arial"/>
                <w:b/>
                <w:bCs/>
                <w:color w:val="002060"/>
                <w:lang w:val="es-CO"/>
              </w:rPr>
              <w:t>DIRECTORIO EJECUTIVO NACIONAL</w:t>
            </w:r>
          </w:p>
          <w:p w:rsidR="00E04C41" w:rsidRPr="004548E5" w:rsidRDefault="00E04C4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56"/>
                <w:szCs w:val="56"/>
                <w:lang w:val="es-ES_tradnl"/>
              </w:rPr>
            </w:pPr>
            <w:r w:rsidRPr="004548E5">
              <w:rPr>
                <w:rFonts w:ascii="Arial" w:hAnsi="Arial" w:cs="Arial"/>
                <w:bCs/>
                <w:color w:val="002060"/>
                <w:sz w:val="56"/>
                <w:szCs w:val="56"/>
                <w:lang w:val="es-CO"/>
              </w:rPr>
              <w:t>ANFUNTCH</w:t>
            </w:r>
          </w:p>
        </w:tc>
      </w:tr>
      <w:tr w:rsidR="005D7D90" w:rsidRPr="004548E5" w:rsidTr="0022670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90" w:rsidRPr="004548E5" w:rsidRDefault="005D7D90" w:rsidP="002267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</w:p>
        </w:tc>
      </w:tr>
      <w:bookmarkEnd w:id="0"/>
    </w:tbl>
    <w:p w:rsidR="000E2852" w:rsidRPr="004548E5" w:rsidRDefault="000E2852">
      <w:pPr>
        <w:rPr>
          <w:color w:val="002060"/>
        </w:rPr>
      </w:pPr>
    </w:p>
    <w:sectPr w:rsidR="000E2852" w:rsidRPr="004548E5" w:rsidSect="00663E58">
      <w:pgSz w:w="12242" w:h="18722" w:code="281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1B33"/>
    <w:multiLevelType w:val="hybridMultilevel"/>
    <w:tmpl w:val="3E165662"/>
    <w:lvl w:ilvl="0" w:tplc="E36E9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C9E"/>
    <w:multiLevelType w:val="hybridMultilevel"/>
    <w:tmpl w:val="9C9C8A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1E94"/>
    <w:multiLevelType w:val="hybridMultilevel"/>
    <w:tmpl w:val="D3C23818"/>
    <w:lvl w:ilvl="0" w:tplc="F1AC07A6">
      <w:start w:val="29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5197"/>
    <w:multiLevelType w:val="hybridMultilevel"/>
    <w:tmpl w:val="A5149F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22"/>
    <w:rsid w:val="000343B1"/>
    <w:rsid w:val="00067A7E"/>
    <w:rsid w:val="00090B03"/>
    <w:rsid w:val="000B4159"/>
    <w:rsid w:val="000E2852"/>
    <w:rsid w:val="00141003"/>
    <w:rsid w:val="0015186B"/>
    <w:rsid w:val="00162F26"/>
    <w:rsid w:val="00174C4F"/>
    <w:rsid w:val="00184516"/>
    <w:rsid w:val="001937E5"/>
    <w:rsid w:val="00215393"/>
    <w:rsid w:val="0022670C"/>
    <w:rsid w:val="00247507"/>
    <w:rsid w:val="0028251B"/>
    <w:rsid w:val="00297D95"/>
    <w:rsid w:val="002A0DDF"/>
    <w:rsid w:val="002A5658"/>
    <w:rsid w:val="002B063B"/>
    <w:rsid w:val="002F11A6"/>
    <w:rsid w:val="002F4434"/>
    <w:rsid w:val="0031570A"/>
    <w:rsid w:val="00315C80"/>
    <w:rsid w:val="00321B75"/>
    <w:rsid w:val="00322413"/>
    <w:rsid w:val="003B662B"/>
    <w:rsid w:val="003C6BB8"/>
    <w:rsid w:val="00411E11"/>
    <w:rsid w:val="00432ABA"/>
    <w:rsid w:val="004548E5"/>
    <w:rsid w:val="00490664"/>
    <w:rsid w:val="004C25AA"/>
    <w:rsid w:val="004C4582"/>
    <w:rsid w:val="00517388"/>
    <w:rsid w:val="005359A6"/>
    <w:rsid w:val="00536B0A"/>
    <w:rsid w:val="00572B45"/>
    <w:rsid w:val="005D103C"/>
    <w:rsid w:val="005D3BA9"/>
    <w:rsid w:val="005D7D90"/>
    <w:rsid w:val="006248BA"/>
    <w:rsid w:val="006365C0"/>
    <w:rsid w:val="006448F1"/>
    <w:rsid w:val="00663E58"/>
    <w:rsid w:val="0068528E"/>
    <w:rsid w:val="00685E3F"/>
    <w:rsid w:val="006861BB"/>
    <w:rsid w:val="00692B31"/>
    <w:rsid w:val="006A0FCF"/>
    <w:rsid w:val="006A4B55"/>
    <w:rsid w:val="006A4DC0"/>
    <w:rsid w:val="006B11F7"/>
    <w:rsid w:val="006C5123"/>
    <w:rsid w:val="006D7A11"/>
    <w:rsid w:val="006E740E"/>
    <w:rsid w:val="006F375B"/>
    <w:rsid w:val="007028E9"/>
    <w:rsid w:val="007054F1"/>
    <w:rsid w:val="00746F89"/>
    <w:rsid w:val="00780120"/>
    <w:rsid w:val="00790A6D"/>
    <w:rsid w:val="007E5AC1"/>
    <w:rsid w:val="008063BA"/>
    <w:rsid w:val="0080697C"/>
    <w:rsid w:val="00837EA1"/>
    <w:rsid w:val="008445A7"/>
    <w:rsid w:val="00886665"/>
    <w:rsid w:val="00887E13"/>
    <w:rsid w:val="0089273B"/>
    <w:rsid w:val="008C6622"/>
    <w:rsid w:val="00904618"/>
    <w:rsid w:val="00904768"/>
    <w:rsid w:val="00904A0F"/>
    <w:rsid w:val="0091100E"/>
    <w:rsid w:val="0096243B"/>
    <w:rsid w:val="0097470E"/>
    <w:rsid w:val="00985F55"/>
    <w:rsid w:val="009A2703"/>
    <w:rsid w:val="009C76E2"/>
    <w:rsid w:val="009D4BEC"/>
    <w:rsid w:val="009E49CB"/>
    <w:rsid w:val="00A0440C"/>
    <w:rsid w:val="00A04857"/>
    <w:rsid w:val="00A71304"/>
    <w:rsid w:val="00A80BFF"/>
    <w:rsid w:val="00A93224"/>
    <w:rsid w:val="00AB3801"/>
    <w:rsid w:val="00B063BB"/>
    <w:rsid w:val="00B210B0"/>
    <w:rsid w:val="00B32F74"/>
    <w:rsid w:val="00B437DD"/>
    <w:rsid w:val="00B53EDF"/>
    <w:rsid w:val="00B56043"/>
    <w:rsid w:val="00B9481C"/>
    <w:rsid w:val="00BB07B3"/>
    <w:rsid w:val="00BB2205"/>
    <w:rsid w:val="00BB7367"/>
    <w:rsid w:val="00C15B64"/>
    <w:rsid w:val="00C20319"/>
    <w:rsid w:val="00C606B0"/>
    <w:rsid w:val="00C62D7F"/>
    <w:rsid w:val="00C76ADF"/>
    <w:rsid w:val="00C86049"/>
    <w:rsid w:val="00CB34CF"/>
    <w:rsid w:val="00CC004B"/>
    <w:rsid w:val="00D0236E"/>
    <w:rsid w:val="00D14B22"/>
    <w:rsid w:val="00D162BF"/>
    <w:rsid w:val="00D33DD7"/>
    <w:rsid w:val="00D73B9E"/>
    <w:rsid w:val="00D97D72"/>
    <w:rsid w:val="00DC2489"/>
    <w:rsid w:val="00DE36A6"/>
    <w:rsid w:val="00DF597E"/>
    <w:rsid w:val="00E04C41"/>
    <w:rsid w:val="00E41469"/>
    <w:rsid w:val="00E5358E"/>
    <w:rsid w:val="00E7122B"/>
    <w:rsid w:val="00E74828"/>
    <w:rsid w:val="00EA610D"/>
    <w:rsid w:val="00EB53C2"/>
    <w:rsid w:val="00EC2629"/>
    <w:rsid w:val="00ED0759"/>
    <w:rsid w:val="00EF3B54"/>
    <w:rsid w:val="00F27BC3"/>
    <w:rsid w:val="00F42EDD"/>
    <w:rsid w:val="00FA6992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742A"/>
  <w15:docId w15:val="{92CBDEED-9CD8-4E72-9125-23E179E1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22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46B9C.56834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4623-49E5-4E4B-BEB3-7D6244D5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1177</Words>
  <Characters>6477</Characters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2019-11-14T12:15:00Z</cp:lastPrinted>
  <dcterms:created xsi:type="dcterms:W3CDTF">2019-11-20T18:43:00Z</dcterms:created>
  <dcterms:modified xsi:type="dcterms:W3CDTF">2019-11-20T20:29:00Z</dcterms:modified>
</cp:coreProperties>
</file>